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3657" w14:textId="77777777" w:rsidR="0060571E" w:rsidRPr="0060571E" w:rsidRDefault="0060571E" w:rsidP="0060571E">
      <w:pPr>
        <w:spacing w:line="240" w:lineRule="auto"/>
        <w:rPr>
          <w:rFonts w:ascii="Verdana" w:hAnsi="Verdana"/>
          <w:b/>
          <w:bCs/>
          <w:sz w:val="18"/>
          <w:szCs w:val="18"/>
          <w:lang w:val="en-US"/>
        </w:rPr>
      </w:pPr>
      <w:r w:rsidRPr="0060571E">
        <w:rPr>
          <w:rFonts w:ascii="Verdana" w:hAnsi="Verdana"/>
          <w:b/>
          <w:bCs/>
          <w:sz w:val="18"/>
          <w:szCs w:val="18"/>
          <w:lang w:val="en-US"/>
        </w:rPr>
        <w:t>Selection criteria – Round 1 (application stage)</w:t>
      </w:r>
    </w:p>
    <w:tbl>
      <w:tblPr>
        <w:tblStyle w:val="Tabelraster"/>
        <w:tblW w:w="9351" w:type="dxa"/>
        <w:tblLook w:val="04A0" w:firstRow="1" w:lastRow="0" w:firstColumn="1" w:lastColumn="0" w:noHBand="0" w:noVBand="1"/>
      </w:tblPr>
      <w:tblGrid>
        <w:gridCol w:w="9988"/>
      </w:tblGrid>
      <w:tr w:rsidR="0060571E" w:rsidRPr="0060571E" w14:paraId="399E474B" w14:textId="77777777" w:rsidTr="00BA477F">
        <w:tc>
          <w:tcPr>
            <w:tcW w:w="9351" w:type="dxa"/>
          </w:tcPr>
          <w:tbl>
            <w:tblPr>
              <w:tblStyle w:val="Tabelrasterlicht"/>
              <w:tblW w:w="9762" w:type="dxa"/>
              <w:tblLook w:val="04A0" w:firstRow="1" w:lastRow="0" w:firstColumn="1" w:lastColumn="0" w:noHBand="0" w:noVBand="1"/>
            </w:tblPr>
            <w:tblGrid>
              <w:gridCol w:w="2476"/>
              <w:gridCol w:w="851"/>
              <w:gridCol w:w="4261"/>
              <w:gridCol w:w="2174"/>
            </w:tblGrid>
            <w:tr w:rsidR="0060571E" w:rsidRPr="0060571E" w14:paraId="4BF9237C" w14:textId="77777777" w:rsidTr="00BA477F">
              <w:trPr>
                <w:trHeight w:val="471"/>
              </w:trPr>
              <w:tc>
                <w:tcPr>
                  <w:tcW w:w="0" w:type="auto"/>
                  <w:hideMark/>
                </w:tcPr>
                <w:p w14:paraId="38908DBC"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Category</w:t>
                  </w:r>
                </w:p>
              </w:tc>
              <w:tc>
                <w:tcPr>
                  <w:tcW w:w="0" w:type="auto"/>
                  <w:hideMark/>
                </w:tcPr>
                <w:p w14:paraId="1C9A2EF4"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Points</w:t>
                  </w:r>
                </w:p>
              </w:tc>
              <w:tc>
                <w:tcPr>
                  <w:tcW w:w="0" w:type="auto"/>
                  <w:hideMark/>
                </w:tcPr>
                <w:p w14:paraId="62080F52"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How to assess</w:t>
                  </w:r>
                </w:p>
              </w:tc>
              <w:tc>
                <w:tcPr>
                  <w:tcW w:w="2174" w:type="dxa"/>
                </w:tcPr>
                <w:p w14:paraId="6A409DF8" w14:textId="77777777" w:rsidR="0060571E" w:rsidRPr="0060571E" w:rsidRDefault="0060571E" w:rsidP="00BA477F">
                  <w:pPr>
                    <w:rPr>
                      <w:rFonts w:ascii="Verdana" w:hAnsi="Verdana"/>
                      <w:b/>
                      <w:bCs/>
                      <w:sz w:val="18"/>
                      <w:szCs w:val="18"/>
                    </w:rPr>
                  </w:pPr>
                  <w:r w:rsidRPr="0060571E">
                    <w:rPr>
                      <w:rFonts w:ascii="Verdana" w:hAnsi="Verdana"/>
                      <w:b/>
                      <w:bCs/>
                      <w:sz w:val="18"/>
                      <w:szCs w:val="18"/>
                    </w:rPr>
                    <w:t>Questions</w:t>
                  </w:r>
                </w:p>
              </w:tc>
            </w:tr>
            <w:tr w:rsidR="0060571E" w:rsidRPr="0060571E" w14:paraId="321B1D1B" w14:textId="77777777" w:rsidTr="00BA477F">
              <w:trPr>
                <w:trHeight w:val="1686"/>
              </w:trPr>
              <w:tc>
                <w:tcPr>
                  <w:tcW w:w="0" w:type="auto"/>
                  <w:hideMark/>
                </w:tcPr>
                <w:p w14:paraId="2FD33792"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Motivation &amp; Strategic Fit</w:t>
                  </w:r>
                </w:p>
              </w:tc>
              <w:tc>
                <w:tcPr>
                  <w:tcW w:w="0" w:type="auto"/>
                  <w:hideMark/>
                </w:tcPr>
                <w:p w14:paraId="5507A89D"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30</w:t>
                  </w:r>
                </w:p>
              </w:tc>
              <w:tc>
                <w:tcPr>
                  <w:tcW w:w="0" w:type="auto"/>
                  <w:hideMark/>
                </w:tcPr>
                <w:p w14:paraId="21DC814E" w14:textId="77777777" w:rsidR="0060571E" w:rsidRPr="0060571E" w:rsidRDefault="0060571E" w:rsidP="00BA477F">
                  <w:pPr>
                    <w:spacing w:after="160" w:line="259" w:lineRule="auto"/>
                    <w:rPr>
                      <w:rFonts w:ascii="Verdana" w:hAnsi="Verdana"/>
                      <w:sz w:val="18"/>
                      <w:szCs w:val="18"/>
                      <w:lang w:val="en-US"/>
                    </w:rPr>
                  </w:pPr>
                  <w:r w:rsidRPr="0060571E">
                    <w:rPr>
                      <w:rFonts w:ascii="Verdana" w:hAnsi="Verdana"/>
                      <w:sz w:val="18"/>
                      <w:szCs w:val="18"/>
                      <w:lang w:val="en-US"/>
                    </w:rPr>
                    <w:t xml:space="preserve">Clarity and strength of motivation to visit the Netherlands; clear explanation of </w:t>
                  </w:r>
                  <w:r w:rsidRPr="0060571E">
                    <w:rPr>
                      <w:rFonts w:ascii="Verdana" w:hAnsi="Verdana"/>
                      <w:i/>
                      <w:iCs/>
                      <w:sz w:val="18"/>
                      <w:szCs w:val="18"/>
                      <w:lang w:val="en-US"/>
                    </w:rPr>
                    <w:t>why the Netherlands</w:t>
                  </w:r>
                  <w:r w:rsidRPr="0060571E">
                    <w:rPr>
                      <w:rFonts w:ascii="Verdana" w:hAnsi="Verdana"/>
                      <w:sz w:val="18"/>
                      <w:szCs w:val="18"/>
                      <w:lang w:val="en-US"/>
                    </w:rPr>
                    <w:t xml:space="preserve">, </w:t>
                  </w:r>
                  <w:r w:rsidRPr="0060571E">
                    <w:rPr>
                      <w:rFonts w:ascii="Verdana" w:hAnsi="Verdana"/>
                      <w:i/>
                      <w:iCs/>
                      <w:sz w:val="18"/>
                      <w:szCs w:val="18"/>
                      <w:lang w:val="en-US"/>
                    </w:rPr>
                    <w:t>why now</w:t>
                  </w:r>
                  <w:r w:rsidRPr="0060571E">
                    <w:rPr>
                      <w:rFonts w:ascii="Verdana" w:hAnsi="Verdana"/>
                      <w:sz w:val="18"/>
                      <w:szCs w:val="18"/>
                      <w:lang w:val="en-US"/>
                    </w:rPr>
                    <w:t>, and what they aim to achieve. Strong link between the Dutch ecosystem and their business needs.</w:t>
                  </w:r>
                </w:p>
              </w:tc>
              <w:tc>
                <w:tcPr>
                  <w:tcW w:w="2174" w:type="dxa"/>
                </w:tcPr>
                <w:p w14:paraId="235940E4" w14:textId="77777777" w:rsidR="0060571E" w:rsidRPr="0060571E" w:rsidRDefault="0060571E" w:rsidP="00BA477F">
                  <w:pPr>
                    <w:rPr>
                      <w:rFonts w:ascii="Verdana" w:hAnsi="Verdana"/>
                      <w:sz w:val="18"/>
                      <w:szCs w:val="18"/>
                      <w:lang w:val="en-US"/>
                    </w:rPr>
                  </w:pPr>
                  <w:r w:rsidRPr="0060571E">
                    <w:rPr>
                      <w:rFonts w:ascii="Verdana" w:hAnsi="Verdana"/>
                      <w:sz w:val="18"/>
                      <w:szCs w:val="18"/>
                      <w:lang w:val="en-US"/>
                    </w:rPr>
                    <w:t>3.1, 3.2, 3.3, 3.4</w:t>
                  </w:r>
                </w:p>
              </w:tc>
            </w:tr>
            <w:tr w:rsidR="0060571E" w:rsidRPr="0060571E" w14:paraId="0B581CCA" w14:textId="77777777" w:rsidTr="00BA477F">
              <w:trPr>
                <w:trHeight w:val="1079"/>
              </w:trPr>
              <w:tc>
                <w:tcPr>
                  <w:tcW w:w="0" w:type="auto"/>
                  <w:hideMark/>
                </w:tcPr>
                <w:p w14:paraId="55386A13"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Action Plan &amp; Preparation</w:t>
                  </w:r>
                </w:p>
              </w:tc>
              <w:tc>
                <w:tcPr>
                  <w:tcW w:w="0" w:type="auto"/>
                  <w:hideMark/>
                </w:tcPr>
                <w:p w14:paraId="704A4FDD"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25</w:t>
                  </w:r>
                </w:p>
              </w:tc>
              <w:tc>
                <w:tcPr>
                  <w:tcW w:w="0" w:type="auto"/>
                  <w:hideMark/>
                </w:tcPr>
                <w:p w14:paraId="6DE6BFE0" w14:textId="77777777" w:rsidR="0060571E" w:rsidRPr="0060571E" w:rsidRDefault="0060571E" w:rsidP="00BA477F">
                  <w:pPr>
                    <w:spacing w:after="160" w:line="259" w:lineRule="auto"/>
                    <w:rPr>
                      <w:rFonts w:ascii="Verdana" w:hAnsi="Verdana"/>
                      <w:sz w:val="18"/>
                      <w:szCs w:val="18"/>
                      <w:lang w:val="en-US"/>
                    </w:rPr>
                  </w:pPr>
                  <w:r w:rsidRPr="0060571E">
                    <w:rPr>
                      <w:rFonts w:ascii="Verdana" w:hAnsi="Verdana"/>
                      <w:sz w:val="18"/>
                      <w:szCs w:val="18"/>
                      <w:lang w:val="en-US"/>
                    </w:rPr>
                    <w:t>Evidence of preparation and market research; clear goals and concrete plan for the visit (e.g. organisations to meet, activities, expected outcomes).</w:t>
                  </w:r>
                </w:p>
              </w:tc>
              <w:tc>
                <w:tcPr>
                  <w:tcW w:w="2174" w:type="dxa"/>
                </w:tcPr>
                <w:p w14:paraId="485BF879" w14:textId="77777777" w:rsidR="0060571E" w:rsidRPr="0060571E" w:rsidRDefault="0060571E" w:rsidP="00BA477F">
                  <w:pPr>
                    <w:rPr>
                      <w:rFonts w:ascii="Verdana" w:hAnsi="Verdana"/>
                      <w:sz w:val="18"/>
                      <w:szCs w:val="18"/>
                      <w:lang w:val="en-US"/>
                    </w:rPr>
                  </w:pPr>
                  <w:r w:rsidRPr="0060571E">
                    <w:rPr>
                      <w:rFonts w:ascii="Verdana" w:hAnsi="Verdana"/>
                      <w:sz w:val="18"/>
                      <w:szCs w:val="18"/>
                      <w:lang w:val="en-US"/>
                    </w:rPr>
                    <w:t>4.1, 4.2</w:t>
                  </w:r>
                </w:p>
              </w:tc>
            </w:tr>
            <w:tr w:rsidR="0060571E" w:rsidRPr="0060571E" w14:paraId="3D0775A3" w14:textId="77777777" w:rsidTr="00BA477F">
              <w:trPr>
                <w:trHeight w:val="1079"/>
              </w:trPr>
              <w:tc>
                <w:tcPr>
                  <w:tcW w:w="0" w:type="auto"/>
                  <w:hideMark/>
                </w:tcPr>
                <w:p w14:paraId="4E553B43"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Business Readiness &amp; Strategic Timing</w:t>
                  </w:r>
                </w:p>
              </w:tc>
              <w:tc>
                <w:tcPr>
                  <w:tcW w:w="0" w:type="auto"/>
                  <w:hideMark/>
                </w:tcPr>
                <w:p w14:paraId="36CF56ED"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25</w:t>
                  </w:r>
                </w:p>
              </w:tc>
              <w:tc>
                <w:tcPr>
                  <w:tcW w:w="0" w:type="auto"/>
                  <w:hideMark/>
                </w:tcPr>
                <w:p w14:paraId="4B4696EB" w14:textId="77777777" w:rsidR="0060571E" w:rsidRPr="0060571E" w:rsidRDefault="0060571E" w:rsidP="00BA477F">
                  <w:pPr>
                    <w:spacing w:after="160" w:line="259" w:lineRule="auto"/>
                    <w:rPr>
                      <w:rFonts w:ascii="Verdana" w:hAnsi="Verdana"/>
                      <w:sz w:val="18"/>
                      <w:szCs w:val="18"/>
                      <w:lang w:val="en-US"/>
                    </w:rPr>
                  </w:pPr>
                  <w:r w:rsidRPr="0060571E">
                    <w:rPr>
                      <w:rFonts w:ascii="Verdana" w:hAnsi="Verdana"/>
                      <w:sz w:val="18"/>
                      <w:szCs w:val="18"/>
                      <w:lang w:val="en-US"/>
                    </w:rPr>
                    <w:t>Potential impact of the mission on the business; stage of development and readiness to benefit from international exposure.</w:t>
                  </w:r>
                </w:p>
              </w:tc>
              <w:tc>
                <w:tcPr>
                  <w:tcW w:w="2174" w:type="dxa"/>
                </w:tcPr>
                <w:p w14:paraId="6E188086" w14:textId="77777777" w:rsidR="0060571E" w:rsidRPr="0060571E" w:rsidRDefault="0060571E" w:rsidP="00BA477F">
                  <w:pPr>
                    <w:rPr>
                      <w:rFonts w:ascii="Verdana" w:hAnsi="Verdana"/>
                      <w:sz w:val="18"/>
                      <w:szCs w:val="18"/>
                      <w:lang w:val="en-US"/>
                    </w:rPr>
                  </w:pPr>
                  <w:r w:rsidRPr="0060571E">
                    <w:rPr>
                      <w:rFonts w:ascii="Verdana" w:hAnsi="Verdana"/>
                      <w:sz w:val="18"/>
                      <w:szCs w:val="18"/>
                      <w:lang w:val="en-US"/>
                    </w:rPr>
                    <w:t>2, 3.1, 3.2, 3.3, 3.4</w:t>
                  </w:r>
                </w:p>
              </w:tc>
            </w:tr>
            <w:tr w:rsidR="0060571E" w:rsidRPr="0060571E" w14:paraId="210174FC" w14:textId="77777777" w:rsidTr="00BA477F">
              <w:trPr>
                <w:trHeight w:val="1079"/>
              </w:trPr>
              <w:tc>
                <w:tcPr>
                  <w:tcW w:w="0" w:type="auto"/>
                  <w:hideMark/>
                </w:tcPr>
                <w:p w14:paraId="6238C9DA" w14:textId="77777777" w:rsidR="0060571E" w:rsidRPr="0060571E" w:rsidRDefault="0060571E" w:rsidP="00BA477F">
                  <w:pPr>
                    <w:spacing w:after="160" w:line="259" w:lineRule="auto"/>
                    <w:rPr>
                      <w:rFonts w:ascii="Verdana" w:hAnsi="Verdana"/>
                      <w:b/>
                      <w:bCs/>
                      <w:sz w:val="18"/>
                      <w:szCs w:val="18"/>
                    </w:rPr>
                  </w:pPr>
                  <w:commentRangeStart w:id="0"/>
                  <w:commentRangeStart w:id="1"/>
                  <w:r w:rsidRPr="0060571E">
                    <w:rPr>
                      <w:rFonts w:ascii="Verdana" w:hAnsi="Verdana"/>
                      <w:b/>
                      <w:bCs/>
                      <w:sz w:val="18"/>
                      <w:szCs w:val="18"/>
                    </w:rPr>
                    <w:t>Video Message</w:t>
                  </w:r>
                  <w:commentRangeEnd w:id="0"/>
                  <w:r w:rsidRPr="0060571E">
                    <w:rPr>
                      <w:rStyle w:val="Verwijzingopmerking"/>
                      <w:rFonts w:ascii="Verdana" w:hAnsi="Verdana"/>
                      <w:sz w:val="18"/>
                      <w:szCs w:val="18"/>
                    </w:rPr>
                    <w:commentReference w:id="0"/>
                  </w:r>
                  <w:commentRangeEnd w:id="1"/>
                  <w:r w:rsidRPr="0060571E">
                    <w:rPr>
                      <w:rStyle w:val="Verwijzingopmerking"/>
                      <w:rFonts w:ascii="Verdana" w:hAnsi="Verdana"/>
                      <w:sz w:val="18"/>
                      <w:szCs w:val="18"/>
                    </w:rPr>
                    <w:commentReference w:id="1"/>
                  </w:r>
                </w:p>
              </w:tc>
              <w:tc>
                <w:tcPr>
                  <w:tcW w:w="0" w:type="auto"/>
                  <w:hideMark/>
                </w:tcPr>
                <w:p w14:paraId="37A48FA8"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10</w:t>
                  </w:r>
                </w:p>
              </w:tc>
              <w:tc>
                <w:tcPr>
                  <w:tcW w:w="0" w:type="auto"/>
                  <w:hideMark/>
                </w:tcPr>
                <w:p w14:paraId="3F27E33E" w14:textId="77777777" w:rsidR="0060571E" w:rsidRPr="0060571E" w:rsidRDefault="0060571E" w:rsidP="00BA477F">
                  <w:pPr>
                    <w:spacing w:after="160" w:line="259" w:lineRule="auto"/>
                    <w:rPr>
                      <w:rFonts w:ascii="Verdana" w:hAnsi="Verdana"/>
                      <w:sz w:val="18"/>
                      <w:szCs w:val="18"/>
                      <w:lang w:val="en-US"/>
                    </w:rPr>
                  </w:pPr>
                  <w:r w:rsidRPr="0060571E">
                    <w:rPr>
                      <w:rFonts w:ascii="Verdana" w:hAnsi="Verdana"/>
                      <w:sz w:val="18"/>
                      <w:szCs w:val="18"/>
                      <w:lang w:val="en-US"/>
                    </w:rPr>
                    <w:t>Authenticity, clarity, and persuasiveness of the applicant’s motivation and expected outcomes. Ability to communicate clearly in English, level of engagement, and overall enthusiasm.</w:t>
                  </w:r>
                </w:p>
              </w:tc>
              <w:tc>
                <w:tcPr>
                  <w:tcW w:w="2174" w:type="dxa"/>
                </w:tcPr>
                <w:p w14:paraId="784598BD" w14:textId="77777777" w:rsidR="0060571E" w:rsidRPr="0060571E" w:rsidRDefault="0060571E" w:rsidP="00BA477F">
                  <w:pPr>
                    <w:rPr>
                      <w:rFonts w:ascii="Verdana" w:hAnsi="Verdana"/>
                      <w:sz w:val="18"/>
                      <w:szCs w:val="18"/>
                      <w:lang w:val="en-US"/>
                    </w:rPr>
                  </w:pPr>
                  <w:r w:rsidRPr="0060571E">
                    <w:rPr>
                      <w:rFonts w:ascii="Verdana" w:hAnsi="Verdana"/>
                      <w:sz w:val="18"/>
                      <w:szCs w:val="18"/>
                      <w:lang w:val="en-US"/>
                    </w:rPr>
                    <w:t>6</w:t>
                  </w:r>
                </w:p>
              </w:tc>
            </w:tr>
            <w:tr w:rsidR="0060571E" w:rsidRPr="0060571E" w14:paraId="7EF65649" w14:textId="77777777" w:rsidTr="00BA477F">
              <w:trPr>
                <w:trHeight w:val="775"/>
              </w:trPr>
              <w:tc>
                <w:tcPr>
                  <w:tcW w:w="0" w:type="auto"/>
                  <w:hideMark/>
                </w:tcPr>
                <w:p w14:paraId="4FF1B7CB"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Contribution to the Group</w:t>
                  </w:r>
                </w:p>
              </w:tc>
              <w:tc>
                <w:tcPr>
                  <w:tcW w:w="0" w:type="auto"/>
                  <w:hideMark/>
                </w:tcPr>
                <w:p w14:paraId="0724D532" w14:textId="77777777" w:rsidR="0060571E" w:rsidRPr="0060571E" w:rsidRDefault="0060571E" w:rsidP="00BA477F">
                  <w:pPr>
                    <w:spacing w:after="160" w:line="259" w:lineRule="auto"/>
                    <w:rPr>
                      <w:rFonts w:ascii="Verdana" w:hAnsi="Verdana"/>
                      <w:b/>
                      <w:bCs/>
                      <w:sz w:val="18"/>
                      <w:szCs w:val="18"/>
                    </w:rPr>
                  </w:pPr>
                  <w:r w:rsidRPr="0060571E">
                    <w:rPr>
                      <w:rFonts w:ascii="Verdana" w:hAnsi="Verdana"/>
                      <w:b/>
                      <w:bCs/>
                      <w:sz w:val="18"/>
                      <w:szCs w:val="18"/>
                    </w:rPr>
                    <w:t>10</w:t>
                  </w:r>
                </w:p>
              </w:tc>
              <w:tc>
                <w:tcPr>
                  <w:tcW w:w="0" w:type="auto"/>
                  <w:hideMark/>
                </w:tcPr>
                <w:p w14:paraId="2B13889A" w14:textId="77777777" w:rsidR="0060571E" w:rsidRPr="0060571E" w:rsidRDefault="0060571E" w:rsidP="00BA477F">
                  <w:pPr>
                    <w:spacing w:after="160" w:line="259" w:lineRule="auto"/>
                    <w:rPr>
                      <w:rFonts w:ascii="Verdana" w:hAnsi="Verdana"/>
                      <w:sz w:val="18"/>
                      <w:szCs w:val="18"/>
                      <w:lang w:val="en-US"/>
                    </w:rPr>
                  </w:pPr>
                  <w:r w:rsidRPr="0060571E">
                    <w:rPr>
                      <w:rFonts w:ascii="Verdana" w:hAnsi="Verdana"/>
                      <w:sz w:val="18"/>
                      <w:szCs w:val="18"/>
                      <w:lang w:val="en-US"/>
                    </w:rPr>
                    <w:t>Potential to contribute knowledge, experience, network, or collaboration opportunities to other participants.</w:t>
                  </w:r>
                </w:p>
              </w:tc>
              <w:tc>
                <w:tcPr>
                  <w:tcW w:w="2174" w:type="dxa"/>
                </w:tcPr>
                <w:p w14:paraId="276C4095" w14:textId="16F98091" w:rsidR="0060571E" w:rsidRPr="0060571E" w:rsidRDefault="0060571E" w:rsidP="00BA477F">
                  <w:pPr>
                    <w:rPr>
                      <w:rFonts w:ascii="Verdana" w:hAnsi="Verdana"/>
                      <w:sz w:val="18"/>
                      <w:szCs w:val="18"/>
                      <w:lang w:val="en-US"/>
                    </w:rPr>
                  </w:pPr>
                  <w:r w:rsidRPr="0060571E">
                    <w:rPr>
                      <w:rFonts w:ascii="Verdana" w:hAnsi="Verdana"/>
                      <w:sz w:val="18"/>
                      <w:szCs w:val="18"/>
                      <w:lang w:val="en-US"/>
                    </w:rPr>
                    <w:t>5</w:t>
                  </w:r>
                  <w:r>
                    <w:rPr>
                      <w:rFonts w:ascii="Verdana" w:hAnsi="Verdana"/>
                      <w:sz w:val="18"/>
                      <w:szCs w:val="18"/>
                      <w:lang w:val="en-US"/>
                    </w:rPr>
                    <w:t xml:space="preserve"> </w:t>
                  </w:r>
                  <w:r>
                    <w:rPr>
                      <w:rFonts w:ascii="Verdana" w:hAnsi="Verdana"/>
                      <w:sz w:val="18"/>
                      <w:szCs w:val="18"/>
                      <w:lang w:val="en-US"/>
                    </w:rPr>
                    <w:br/>
                    <w:t>supported by: 2, 3, 6</w:t>
                  </w:r>
                </w:p>
              </w:tc>
            </w:tr>
          </w:tbl>
          <w:p w14:paraId="4B593DA2" w14:textId="77777777" w:rsidR="0060571E" w:rsidRPr="0060571E" w:rsidRDefault="0060571E" w:rsidP="00BA477F">
            <w:pPr>
              <w:rPr>
                <w:rFonts w:ascii="Verdana" w:hAnsi="Verdana"/>
                <w:sz w:val="18"/>
                <w:szCs w:val="18"/>
              </w:rPr>
            </w:pPr>
          </w:p>
        </w:tc>
      </w:tr>
    </w:tbl>
    <w:p w14:paraId="0821E11D" w14:textId="77777777" w:rsidR="0060571E" w:rsidRPr="0060571E" w:rsidRDefault="0060571E" w:rsidP="0060571E">
      <w:pPr>
        <w:rPr>
          <w:rFonts w:ascii="Verdana" w:hAnsi="Verdana"/>
          <w:sz w:val="18"/>
          <w:szCs w:val="18"/>
          <w:lang w:val="en-US"/>
        </w:rPr>
      </w:pPr>
    </w:p>
    <w:p w14:paraId="16C5D959" w14:textId="77777777" w:rsidR="0060571E" w:rsidRPr="0060571E" w:rsidRDefault="0060571E" w:rsidP="0060571E">
      <w:pPr>
        <w:rPr>
          <w:rFonts w:ascii="Verdana" w:hAnsi="Verdana"/>
          <w:b/>
          <w:bCs/>
          <w:sz w:val="18"/>
          <w:szCs w:val="18"/>
          <w:lang w:val="en-US"/>
        </w:rPr>
      </w:pPr>
      <w:r w:rsidRPr="0060571E">
        <w:rPr>
          <w:rFonts w:ascii="Verdana" w:hAnsi="Verdana"/>
          <w:b/>
          <w:bCs/>
          <w:sz w:val="18"/>
          <w:szCs w:val="18"/>
          <w:lang w:val="en-US"/>
        </w:rPr>
        <w:t>Shortlisting</w:t>
      </w:r>
    </w:p>
    <w:p w14:paraId="5958D4AA" w14:textId="166B5958" w:rsidR="00FC3CB6" w:rsidRPr="0060571E" w:rsidRDefault="0060571E" w:rsidP="0060571E">
      <w:pPr>
        <w:rPr>
          <w:rFonts w:ascii="Verdana" w:hAnsi="Verdana"/>
          <w:sz w:val="18"/>
          <w:szCs w:val="18"/>
          <w:lang w:val="en-US"/>
        </w:rPr>
      </w:pPr>
      <w:r w:rsidRPr="0060571E">
        <w:rPr>
          <w:rFonts w:ascii="Verdana" w:hAnsi="Verdana"/>
          <w:sz w:val="18"/>
          <w:szCs w:val="18"/>
          <w:lang w:val="en-US"/>
        </w:rPr>
        <w:t>Based on the above criteria, a shortlist of candidates will</w:t>
      </w:r>
      <w:r w:rsidRPr="0060571E">
        <w:rPr>
          <w:rFonts w:ascii="Verdana" w:hAnsi="Verdana"/>
          <w:sz w:val="18"/>
          <w:szCs w:val="18"/>
          <w:lang w:val="en-US"/>
        </w:rPr>
        <w:t xml:space="preserve"> be selected for the interview round (18 – 22 May 2026).</w:t>
      </w:r>
    </w:p>
    <w:p w14:paraId="791B05E8" w14:textId="07EA5396" w:rsidR="0060571E" w:rsidRPr="0060571E" w:rsidRDefault="0060571E" w:rsidP="0060571E">
      <w:pPr>
        <w:rPr>
          <w:rFonts w:ascii="Verdana" w:hAnsi="Verdana"/>
          <w:b/>
          <w:bCs/>
          <w:sz w:val="18"/>
          <w:szCs w:val="18"/>
          <w:lang w:val="en-US"/>
        </w:rPr>
      </w:pPr>
      <w:r w:rsidRPr="0060571E">
        <w:rPr>
          <w:rFonts w:ascii="Verdana" w:hAnsi="Verdana"/>
          <w:b/>
          <w:bCs/>
          <w:sz w:val="18"/>
          <w:szCs w:val="18"/>
          <w:lang w:val="en-US"/>
        </w:rPr>
        <w:t>Interview round</w:t>
      </w:r>
    </w:p>
    <w:p w14:paraId="40022DCA" w14:textId="77777777" w:rsidR="0060571E" w:rsidRPr="0060571E" w:rsidRDefault="0060571E" w:rsidP="0060571E">
      <w:pPr>
        <w:rPr>
          <w:rFonts w:ascii="Verdana" w:hAnsi="Verdana"/>
          <w:sz w:val="18"/>
          <w:szCs w:val="18"/>
          <w:lang w:val="en-US"/>
        </w:rPr>
      </w:pPr>
      <w:r w:rsidRPr="0060571E">
        <w:rPr>
          <w:rFonts w:ascii="Verdana" w:hAnsi="Verdana"/>
          <w:sz w:val="18"/>
          <w:szCs w:val="18"/>
          <w:lang w:val="en-US"/>
        </w:rPr>
        <w:t>During the interview round, we will further assess:</w:t>
      </w:r>
    </w:p>
    <w:p w14:paraId="7BAC14F6" w14:textId="77777777" w:rsidR="0060571E" w:rsidRPr="0060571E" w:rsidRDefault="0060571E" w:rsidP="0060571E">
      <w:pPr>
        <w:pStyle w:val="Lijstalinea"/>
        <w:numPr>
          <w:ilvl w:val="0"/>
          <w:numId w:val="1"/>
        </w:numPr>
        <w:rPr>
          <w:rFonts w:ascii="Verdana" w:hAnsi="Verdana"/>
          <w:sz w:val="18"/>
          <w:szCs w:val="18"/>
          <w:lang w:val="en-US"/>
        </w:rPr>
      </w:pPr>
      <w:r w:rsidRPr="0060571E">
        <w:rPr>
          <w:rFonts w:ascii="Verdana" w:hAnsi="Verdana"/>
          <w:sz w:val="18"/>
          <w:szCs w:val="18"/>
          <w:lang w:val="en-US"/>
        </w:rPr>
        <w:t>Depth and consistency of motivation and strategic fit with the mission</w:t>
      </w:r>
    </w:p>
    <w:p w14:paraId="253BEECF" w14:textId="77777777" w:rsidR="0060571E" w:rsidRPr="0060571E" w:rsidRDefault="0060571E" w:rsidP="0060571E">
      <w:pPr>
        <w:pStyle w:val="Lijstalinea"/>
        <w:numPr>
          <w:ilvl w:val="0"/>
          <w:numId w:val="1"/>
        </w:numPr>
        <w:rPr>
          <w:rFonts w:ascii="Verdana" w:hAnsi="Verdana"/>
          <w:sz w:val="18"/>
          <w:szCs w:val="18"/>
          <w:lang w:val="en-US"/>
        </w:rPr>
      </w:pPr>
      <w:r w:rsidRPr="0060571E">
        <w:rPr>
          <w:rFonts w:ascii="Verdana" w:hAnsi="Verdana"/>
          <w:sz w:val="18"/>
          <w:szCs w:val="18"/>
          <w:lang w:val="en-US"/>
        </w:rPr>
        <w:t>Clarity and feasibility of plans and expected outcomes</w:t>
      </w:r>
    </w:p>
    <w:p w14:paraId="66DF0BBC" w14:textId="0AAD0B7B" w:rsidR="0060571E" w:rsidRPr="0060571E" w:rsidRDefault="0060571E" w:rsidP="0060571E">
      <w:pPr>
        <w:pStyle w:val="Lijstalinea"/>
        <w:numPr>
          <w:ilvl w:val="0"/>
          <w:numId w:val="1"/>
        </w:numPr>
        <w:rPr>
          <w:rFonts w:ascii="Verdana" w:hAnsi="Verdana"/>
          <w:sz w:val="18"/>
          <w:szCs w:val="18"/>
          <w:lang w:val="en-US"/>
        </w:rPr>
      </w:pPr>
      <w:r w:rsidRPr="0060571E">
        <w:rPr>
          <w:rFonts w:ascii="Verdana" w:hAnsi="Verdana"/>
          <w:sz w:val="18"/>
          <w:szCs w:val="18"/>
          <w:lang w:val="en-US"/>
        </w:rPr>
        <w:t>Communication skills and engagement</w:t>
      </w:r>
    </w:p>
    <w:p w14:paraId="48685FB9" w14:textId="77777777" w:rsidR="0060571E" w:rsidRPr="0060571E" w:rsidRDefault="0060571E" w:rsidP="0060571E">
      <w:pPr>
        <w:rPr>
          <w:rFonts w:ascii="Verdana" w:hAnsi="Verdana"/>
          <w:sz w:val="18"/>
          <w:szCs w:val="18"/>
          <w:lang w:val="en-US"/>
        </w:rPr>
      </w:pPr>
      <w:r w:rsidRPr="0060571E">
        <w:rPr>
          <w:rFonts w:ascii="Verdana" w:hAnsi="Verdana"/>
          <w:sz w:val="18"/>
          <w:szCs w:val="18"/>
          <w:lang w:val="en-US"/>
        </w:rPr>
        <w:t>In addition, cohort composition will be a key consideration. We aim to create a balanced group of participants with:</w:t>
      </w:r>
    </w:p>
    <w:p w14:paraId="26B96448" w14:textId="77777777" w:rsidR="0060571E" w:rsidRPr="0060571E" w:rsidRDefault="0060571E" w:rsidP="0060571E">
      <w:pPr>
        <w:pStyle w:val="Lijstalinea"/>
        <w:numPr>
          <w:ilvl w:val="0"/>
          <w:numId w:val="2"/>
        </w:numPr>
        <w:rPr>
          <w:rFonts w:ascii="Verdana" w:hAnsi="Verdana"/>
          <w:sz w:val="18"/>
          <w:szCs w:val="18"/>
          <w:lang w:val="en-US"/>
        </w:rPr>
      </w:pPr>
      <w:r w:rsidRPr="0060571E">
        <w:rPr>
          <w:rFonts w:ascii="Verdana" w:hAnsi="Verdana"/>
          <w:sz w:val="18"/>
          <w:szCs w:val="18"/>
          <w:lang w:val="en-US"/>
        </w:rPr>
        <w:t>Shared interests and goals, enabling meaningful peer learning</w:t>
      </w:r>
    </w:p>
    <w:p w14:paraId="0D439E71" w14:textId="240674BE" w:rsidR="0060571E" w:rsidRPr="0060571E" w:rsidRDefault="0060571E" w:rsidP="0060571E">
      <w:pPr>
        <w:pStyle w:val="Lijstalinea"/>
        <w:numPr>
          <w:ilvl w:val="0"/>
          <w:numId w:val="2"/>
        </w:numPr>
        <w:rPr>
          <w:rFonts w:ascii="Verdana" w:hAnsi="Verdana"/>
          <w:sz w:val="18"/>
          <w:szCs w:val="18"/>
          <w:lang w:val="en-US"/>
        </w:rPr>
      </w:pPr>
      <w:r w:rsidRPr="0060571E">
        <w:rPr>
          <w:rFonts w:ascii="Verdana" w:hAnsi="Verdana"/>
          <w:sz w:val="18"/>
          <w:szCs w:val="18"/>
          <w:lang w:val="en-US"/>
        </w:rPr>
        <w:t>Diversity in backgrounds, sectors, and perspectives, strengthening exchange and collaboration</w:t>
      </w:r>
    </w:p>
    <w:sectPr w:rsidR="0060571E" w:rsidRPr="0060571E">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ssemeijer, W.P.C. (Ward)" w:date="2026-04-02T09:49:00Z" w:initials="WK">
    <w:p w14:paraId="2CB9C365" w14:textId="77777777" w:rsidR="0060571E" w:rsidRDefault="0060571E" w:rsidP="0060571E">
      <w:pPr>
        <w:pStyle w:val="Tekstopmerking"/>
      </w:pPr>
      <w:r>
        <w:rPr>
          <w:rStyle w:val="Verwijzingopmerking"/>
        </w:rPr>
        <w:annotationRef/>
      </w:r>
      <w:r>
        <w:rPr>
          <w:lang w:val="en-US"/>
        </w:rPr>
        <w:t xml:space="preserve">Is dit een aparte categorie? Wat zien we in de video waar we iets aan hebben, dat we niet via de andere vragen genoeg tackelen, misschien enthousiasme, niveau van engels, hoe goed iemand is in communicatie. </w:t>
      </w:r>
    </w:p>
  </w:comment>
  <w:comment w:id="1" w:author="Visser, E.C. (Emilie)" w:date="2026-04-02T15:20:00Z" w:initials="EV">
    <w:p w14:paraId="6D89CCDC" w14:textId="77777777" w:rsidR="0060571E" w:rsidRDefault="0060571E" w:rsidP="0060571E">
      <w:pPr>
        <w:pStyle w:val="Tekstopmerking"/>
      </w:pPr>
      <w:r>
        <w:rPr>
          <w:rStyle w:val="Verwijzingopmerking"/>
        </w:rPr>
        <w:annotationRef/>
      </w:r>
      <w:r>
        <w:t>Hoe goed je communiceert, hoe duidelijk je bent, je niveau van Engels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9C365" w15:done="1"/>
  <w15:commentEx w15:paraId="6D89CCDC" w15:paraIdParent="2CB9C3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50A89" w16cex:dateUtc="2026-04-02T07:49:00Z"/>
  <w16cex:commentExtensible w16cex:durableId="1877C3C9" w16cex:dateUtc="2026-04-0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9C365" w16cid:durableId="67850A89"/>
  <w16cid:commentId w16cid:paraId="6D89CCDC" w16cid:durableId="1877C3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A461" w14:textId="77777777" w:rsidR="0060571E" w:rsidRDefault="0060571E" w:rsidP="0060571E">
      <w:pPr>
        <w:spacing w:after="0" w:line="240" w:lineRule="auto"/>
      </w:pPr>
      <w:r>
        <w:separator/>
      </w:r>
    </w:p>
  </w:endnote>
  <w:endnote w:type="continuationSeparator" w:id="0">
    <w:p w14:paraId="042EF177" w14:textId="77777777" w:rsidR="0060571E" w:rsidRDefault="0060571E" w:rsidP="0060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72F8" w14:textId="5472598C" w:rsidR="0060571E" w:rsidRDefault="0060571E">
    <w:pPr>
      <w:pStyle w:val="Voettekst"/>
    </w:pPr>
    <w:r>
      <w:rPr>
        <w:noProof/>
      </w:rPr>
      <mc:AlternateContent>
        <mc:Choice Requires="wps">
          <w:drawing>
            <wp:anchor distT="0" distB="0" distL="0" distR="0" simplePos="0" relativeHeight="251659264" behindDoc="0" locked="0" layoutInCell="1" allowOverlap="1" wp14:anchorId="41E22D12" wp14:editId="35371B1B">
              <wp:simplePos x="635" y="635"/>
              <wp:positionH relativeFrom="page">
                <wp:align>left</wp:align>
              </wp:positionH>
              <wp:positionV relativeFrom="page">
                <wp:align>bottom</wp:align>
              </wp:positionV>
              <wp:extent cx="1007110" cy="357505"/>
              <wp:effectExtent l="0" t="0" r="2540" b="0"/>
              <wp:wrapNone/>
              <wp:docPr id="2906407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71EFD39" w14:textId="6AE53A7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E22D12"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fill o:detectmouseclick="t"/>
              <v:textbox style="mso-fit-shape-to-text:t" inset="20pt,0,0,15pt">
                <w:txbxContent>
                  <w:p w14:paraId="271EFD39" w14:textId="6AE53A7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A255" w14:textId="0A4CC617" w:rsidR="0060571E" w:rsidRDefault="0060571E">
    <w:pPr>
      <w:pStyle w:val="Voettekst"/>
    </w:pPr>
    <w:r>
      <w:rPr>
        <w:noProof/>
      </w:rPr>
      <mc:AlternateContent>
        <mc:Choice Requires="wps">
          <w:drawing>
            <wp:anchor distT="0" distB="0" distL="0" distR="0" simplePos="0" relativeHeight="251660288" behindDoc="0" locked="0" layoutInCell="1" allowOverlap="1" wp14:anchorId="3E5811E2" wp14:editId="1B23E23F">
              <wp:simplePos x="901700" y="10071100"/>
              <wp:positionH relativeFrom="page">
                <wp:align>left</wp:align>
              </wp:positionH>
              <wp:positionV relativeFrom="page">
                <wp:align>bottom</wp:align>
              </wp:positionV>
              <wp:extent cx="1007110" cy="357505"/>
              <wp:effectExtent l="0" t="0" r="2540" b="0"/>
              <wp:wrapNone/>
              <wp:docPr id="188250645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C32E17D" w14:textId="2701530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811E2" id="_x0000_t202" coordsize="21600,21600" o:spt="202" path="m,l,21600r21600,l21600,xe">
              <v:stroke joinstyle="miter"/>
              <v:path gradientshapeok="t" o:connecttype="rect"/>
            </v:shapetype>
            <v:shape id="Tekstvak 3" o:spid="_x0000_s1027" type="#_x0000_t202" alt="Intern gebruik" style="position:absolute;margin-left:0;margin-top:0;width:79.3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fill o:detectmouseclick="t"/>
              <v:textbox style="mso-fit-shape-to-text:t" inset="20pt,0,0,15pt">
                <w:txbxContent>
                  <w:p w14:paraId="5C32E17D" w14:textId="2701530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D09E" w14:textId="7D324E76" w:rsidR="0060571E" w:rsidRDefault="0060571E">
    <w:pPr>
      <w:pStyle w:val="Voettekst"/>
    </w:pPr>
    <w:r>
      <w:rPr>
        <w:noProof/>
      </w:rPr>
      <mc:AlternateContent>
        <mc:Choice Requires="wps">
          <w:drawing>
            <wp:anchor distT="0" distB="0" distL="0" distR="0" simplePos="0" relativeHeight="251658240" behindDoc="0" locked="0" layoutInCell="1" allowOverlap="1" wp14:anchorId="0DF9060C" wp14:editId="5C82D1AB">
              <wp:simplePos x="635" y="635"/>
              <wp:positionH relativeFrom="page">
                <wp:align>left</wp:align>
              </wp:positionH>
              <wp:positionV relativeFrom="page">
                <wp:align>bottom</wp:align>
              </wp:positionV>
              <wp:extent cx="1007110" cy="357505"/>
              <wp:effectExtent l="0" t="0" r="2540" b="0"/>
              <wp:wrapNone/>
              <wp:docPr id="5632900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8B67796" w14:textId="6B16A03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9060C"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fill o:detectmouseclick="t"/>
              <v:textbox style="mso-fit-shape-to-text:t" inset="20pt,0,0,15pt">
                <w:txbxContent>
                  <w:p w14:paraId="58B67796" w14:textId="6B16A030" w:rsidR="0060571E" w:rsidRPr="0060571E" w:rsidRDefault="0060571E" w:rsidP="0060571E">
                    <w:pPr>
                      <w:spacing w:after="0"/>
                      <w:rPr>
                        <w:rFonts w:ascii="Aptos" w:eastAsia="Aptos" w:hAnsi="Aptos" w:cs="Aptos"/>
                        <w:noProof/>
                        <w:color w:val="000000"/>
                        <w:sz w:val="20"/>
                        <w:szCs w:val="20"/>
                      </w:rPr>
                    </w:pPr>
                    <w:r w:rsidRPr="0060571E">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D810" w14:textId="77777777" w:rsidR="0060571E" w:rsidRDefault="0060571E" w:rsidP="0060571E">
      <w:pPr>
        <w:spacing w:after="0" w:line="240" w:lineRule="auto"/>
      </w:pPr>
      <w:r>
        <w:separator/>
      </w:r>
    </w:p>
  </w:footnote>
  <w:footnote w:type="continuationSeparator" w:id="0">
    <w:p w14:paraId="0835262E" w14:textId="77777777" w:rsidR="0060571E" w:rsidRDefault="0060571E" w:rsidP="00605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7CF1"/>
    <w:multiLevelType w:val="hybridMultilevel"/>
    <w:tmpl w:val="DCEE4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A846E2"/>
    <w:multiLevelType w:val="hybridMultilevel"/>
    <w:tmpl w:val="1CD43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2454533">
    <w:abstractNumId w:val="1"/>
  </w:num>
  <w:num w:numId="2" w16cid:durableId="2323538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ssemeijer, W.P.C. (Ward)">
    <w15:presenceInfo w15:providerId="AD" w15:userId="S::ward.karssemeijer@rvo.nl::6295c455-803c-45d6-8495-2978c72e6b4c"/>
  </w15:person>
  <w15:person w15:author="Visser, E.C. (Emilie)">
    <w15:presenceInfo w15:providerId="AD" w15:userId="S::emilie.visser@rvo.nl::fba1d5b6-bef0-4342-b11b-e6d1b02c7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1E"/>
    <w:rsid w:val="004213FB"/>
    <w:rsid w:val="005C495E"/>
    <w:rsid w:val="00601305"/>
    <w:rsid w:val="0060571E"/>
    <w:rsid w:val="00A95194"/>
    <w:rsid w:val="00B91590"/>
    <w:rsid w:val="00BB3A02"/>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0844"/>
  <w15:chartTrackingRefBased/>
  <w15:docId w15:val="{B869E3BF-550A-47AB-9180-7BDD5428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71E"/>
  </w:style>
  <w:style w:type="paragraph" w:styleId="Kop1">
    <w:name w:val="heading 1"/>
    <w:basedOn w:val="Standaard"/>
    <w:next w:val="Standaard"/>
    <w:link w:val="Kop1Char"/>
    <w:uiPriority w:val="9"/>
    <w:qFormat/>
    <w:rsid w:val="00605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7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7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7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7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7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7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7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7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71E"/>
    <w:rPr>
      <w:rFonts w:eastAsiaTheme="majorEastAsia" w:cstheme="majorBidi"/>
      <w:color w:val="272727" w:themeColor="text1" w:themeTint="D8"/>
    </w:rPr>
  </w:style>
  <w:style w:type="paragraph" w:styleId="Titel">
    <w:name w:val="Title"/>
    <w:basedOn w:val="Standaard"/>
    <w:next w:val="Standaard"/>
    <w:link w:val="TitelChar"/>
    <w:uiPriority w:val="10"/>
    <w:qFormat/>
    <w:rsid w:val="00605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71E"/>
    <w:rPr>
      <w:i/>
      <w:iCs/>
      <w:color w:val="404040" w:themeColor="text1" w:themeTint="BF"/>
    </w:rPr>
  </w:style>
  <w:style w:type="paragraph" w:styleId="Lijstalinea">
    <w:name w:val="List Paragraph"/>
    <w:basedOn w:val="Standaard"/>
    <w:uiPriority w:val="34"/>
    <w:qFormat/>
    <w:rsid w:val="0060571E"/>
    <w:pPr>
      <w:ind w:left="720"/>
      <w:contextualSpacing/>
    </w:pPr>
  </w:style>
  <w:style w:type="character" w:styleId="Intensievebenadrukking">
    <w:name w:val="Intense Emphasis"/>
    <w:basedOn w:val="Standaardalinea-lettertype"/>
    <w:uiPriority w:val="21"/>
    <w:qFormat/>
    <w:rsid w:val="0060571E"/>
    <w:rPr>
      <w:i/>
      <w:iCs/>
      <w:color w:val="0F4761" w:themeColor="accent1" w:themeShade="BF"/>
    </w:rPr>
  </w:style>
  <w:style w:type="paragraph" w:styleId="Duidelijkcitaat">
    <w:name w:val="Intense Quote"/>
    <w:basedOn w:val="Standaard"/>
    <w:next w:val="Standaard"/>
    <w:link w:val="DuidelijkcitaatChar"/>
    <w:uiPriority w:val="30"/>
    <w:qFormat/>
    <w:rsid w:val="00605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71E"/>
    <w:rPr>
      <w:i/>
      <w:iCs/>
      <w:color w:val="0F4761" w:themeColor="accent1" w:themeShade="BF"/>
    </w:rPr>
  </w:style>
  <w:style w:type="character" w:styleId="Intensieveverwijzing">
    <w:name w:val="Intense Reference"/>
    <w:basedOn w:val="Standaardalinea-lettertype"/>
    <w:uiPriority w:val="32"/>
    <w:qFormat/>
    <w:rsid w:val="0060571E"/>
    <w:rPr>
      <w:b/>
      <w:bCs/>
      <w:smallCaps/>
      <w:color w:val="0F4761" w:themeColor="accent1" w:themeShade="BF"/>
      <w:spacing w:val="5"/>
    </w:rPr>
  </w:style>
  <w:style w:type="table" w:styleId="Tabelraster">
    <w:name w:val="Table Grid"/>
    <w:basedOn w:val="Standaardtabel"/>
    <w:uiPriority w:val="39"/>
    <w:rsid w:val="0060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605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60571E"/>
    <w:rPr>
      <w:sz w:val="16"/>
      <w:szCs w:val="16"/>
    </w:rPr>
  </w:style>
  <w:style w:type="paragraph" w:styleId="Tekstopmerking">
    <w:name w:val="annotation text"/>
    <w:basedOn w:val="Standaard"/>
    <w:link w:val="TekstopmerkingChar"/>
    <w:uiPriority w:val="99"/>
    <w:unhideWhenUsed/>
    <w:rsid w:val="0060571E"/>
    <w:pPr>
      <w:spacing w:line="240" w:lineRule="auto"/>
    </w:pPr>
    <w:rPr>
      <w:sz w:val="20"/>
      <w:szCs w:val="20"/>
    </w:rPr>
  </w:style>
  <w:style w:type="character" w:customStyle="1" w:styleId="TekstopmerkingChar">
    <w:name w:val="Tekst opmerking Char"/>
    <w:basedOn w:val="Standaardalinea-lettertype"/>
    <w:link w:val="Tekstopmerking"/>
    <w:uiPriority w:val="99"/>
    <w:rsid w:val="0060571E"/>
    <w:rPr>
      <w:sz w:val="20"/>
      <w:szCs w:val="20"/>
    </w:rPr>
  </w:style>
  <w:style w:type="paragraph" w:styleId="Voettekst">
    <w:name w:val="footer"/>
    <w:basedOn w:val="Standaard"/>
    <w:link w:val="VoettekstChar"/>
    <w:uiPriority w:val="99"/>
    <w:unhideWhenUsed/>
    <w:rsid w:val="006057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1464</Characters>
  <Application>Microsoft Office Word</Application>
  <DocSecurity>0</DocSecurity>
  <Lines>12</Lines>
  <Paragraphs>3</Paragraphs>
  <ScaleCrop>false</ScaleCrop>
  <Company>Ministerie van Economische Zaken en Klimaat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E.C. (Emilie)</dc:creator>
  <cp:keywords/>
  <dc:description/>
  <cp:lastModifiedBy>Visser, E.C. (Emilie)</cp:lastModifiedBy>
  <cp:revision>1</cp:revision>
  <dcterms:created xsi:type="dcterms:W3CDTF">2026-04-03T08:08:00Z</dcterms:created>
  <dcterms:modified xsi:type="dcterms:W3CDTF">2026-04-03T08:16:00Z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21931fa2,1152d372,7034c4d5</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